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88" w:lineRule="auto"/>
        <w:ind w:left="0" w:right="0" w:hanging="3"/>
        <w:jc w:val="center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00000"/>
          <w:u w:val="none"/>
          <w:shd w:fill="auto" w:val="clear"/>
          <w:vertAlign w:val="baseline"/>
        </w:rPr>
        <w:drawing>
          <wp:inline distB="0" distT="0" distL="114300" distR="114300">
            <wp:extent cx="6113145" cy="1254125"/>
            <wp:effectExtent b="0" l="0" r="0" t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3145" cy="1254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0" w:right="0" w:hanging="3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5726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5726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26.01.2023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В «Смене» пройд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ет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 первы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 финальны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 этап регионального фестиваля научно-технического творчества «ТехноКлюч»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с 27 по 29 января состо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тся первы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финальны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этап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VII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регионального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естиваля научно-технического творчества и проектных работ школьников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ТехноКлюч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очном формате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примут участие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100 ребят из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Краснодарского края в возрасте от 7 до 17 лет.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88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27 по 29 января на базе Центра профессионального мастерства «Парк Будущего» в «Смене» пройдет первый финальный этап VII регионального Фестиваля научно-технического творчества и проектных работ школьников «ТехноКлюч». Фестиваль объединит команды школьников в возрасте  от 7 до 17 лет и их научных руководителей. В «Смене» встретятся команды из Краснодара, Горячего Ключа и Новокубанска. Школьники города Сочи, станицы Динской и обучающиеся Образовательного центра «Сириус»  принимают участие в первом финальном этапе фестиваля в дистанционном формате.</w:t>
      </w:r>
    </w:p>
    <w:p w:rsidR="00000000" w:rsidDel="00000000" w:rsidP="00000000" w:rsidRDefault="00000000" w:rsidRPr="00000000" w14:paraId="0000000B">
      <w:pPr>
        <w:spacing w:line="288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«Смене» школьники из Краснодарского края посетят лаборатории профмастерства «Парка Будущего», примут участие в мастер-классах, технических соревновательных турнирах по робототехнике, 3D-моделированию и программированию, представят свои проекты  экспертам фестиваля. Дети получат рекомендации, профессиональную помощь наставников и консультационную поддержку по доработке и дальнейшему продвижению своих своих идей и открытий, узнают, как подать заявку на всероссийские конкурсы. </w:t>
      </w:r>
    </w:p>
    <w:p w:rsidR="00000000" w:rsidDel="00000000" w:rsidP="00000000" w:rsidRDefault="00000000" w:rsidRPr="00000000" w14:paraId="0000000C">
      <w:pPr>
        <w:spacing w:line="288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«Мы всегда рады видеть в «Смене» юных новаторов, представляющих интеллектуальный потенциал своих регионов. Фестиваль «ТехноКлюч» объединяет ребят, для которых личное развитие сопряжено с созданием технологичных решений на благо успешного будущего нашей страны. Опыт, который ребята получат на краевом фестивале, поможет им достойно презентовать себя на федеральном и международном уровнях, наметить успешный старт в сфере инженерных профессий», —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88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Финальные этапы регионального фестиваля будут проходить в течение всего года. Самые активные участники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получат возможность представить свой проект на всероссийских конкурсах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«Ш.У.СТР.И.К», «ИнтЭРА», «АгроНТИ», «ЭкоПатруль», «Дежурный по планете» программы  «ИнноШкольник».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Ребята получат шанс найти ментора или финансирование проекта, получить наградную путевку на тематические смены Международного детского центра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Артек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Всероссийского детского центра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Смена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стать участником Международного военно-технического форума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Армия-2023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поступить в один из 15 ведущих технологических вузов страны.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Региональный Фестиваль научно-технического творчества и проектных работ школьников «ТехноКлюч» является частью обучающих программ и проектов,  реализуемых  Центром молодежного инновационного творчества (ЦМИТ г. Горячий Ключ) в Краснодарском крае для школьников, молодежи и студентов. Организаторы Фестиваля: ЦМИТ г.Горячий Ключ, школа ЮНИТ г.Краснодар, Департамент инвестиций и развития малого и среднего предпринимательства Краснодарского края. Соорганизаторы – ЦМИТы г.Курганинск, г.Новокубанск, г.Краснодар, Точки Роста г.Апшеронск, ст.Динская, Президентский лицей «Сириус», Фонд развития дополнительного образования г.Краснодар. Мероприятие реализуется при поддержке Фонда содействия развитию малых форм предприятий в научно-технической сфере.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Фестиваль проводится с целью популяризации научно-технического и инновационного творчества, повышения престижа инженерных и рабочих профессий в молодежной среде, популяризации профессии педагога и наставника, стимулирования интереса детей и молодежи к сфере инноваций и высоких технологий.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6133465" cy="47625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4030" y="3760950"/>
                          <a:ext cx="6123940" cy="381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6133465" cy="47625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3465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4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06.574803149607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QUNZEPHjxVRpupMSqxDMxzPKKg==">AMUW2mUXC59byzNr4mB587GfiKZSU5WNk5Pq0q4Pr/5Fd4y00r05nCzmNT18jJjR/MawWB94eAieP1YKcDXrl78up0aKskDc2TZ/KKsTnUwOfWGtjZQTcKg=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2022-12-20T06:08:17Z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