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17.08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.2022 г.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baseline"/>
          <w:rtl w:val="0"/>
        </w:rPr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02230" cy="68580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629" l="-625" r="-625" t="-2630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1762"/>
          <w:tab w:val="left" w:pos="5414"/>
          <w:tab w:val="left" w:pos="5697"/>
        </w:tabs>
        <w:ind w:right="-108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762"/>
          <w:tab w:val="left" w:pos="5414"/>
          <w:tab w:val="left" w:pos="5697"/>
        </w:tabs>
        <w:ind w:right="-108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762"/>
          <w:tab w:val="left" w:pos="5414"/>
          <w:tab w:val="left" w:pos="5697"/>
        </w:tabs>
        <w:ind w:right="-108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В «Смене» встретили финалистов акции</w:t>
      </w:r>
    </w:p>
    <w:p w:rsidR="00000000" w:rsidDel="00000000" w:rsidP="00000000" w:rsidRDefault="00000000" w:rsidRPr="00000000" w14:paraId="00000005">
      <w:pPr>
        <w:tabs>
          <w:tab w:val="left" w:pos="1762"/>
          <w:tab w:val="left" w:pos="5414"/>
          <w:tab w:val="left" w:pos="5697"/>
        </w:tabs>
        <w:ind w:right="-108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«Я – гражданин России»</w:t>
      </w:r>
    </w:p>
    <w:p w:rsidR="00000000" w:rsidDel="00000000" w:rsidP="00000000" w:rsidRDefault="00000000" w:rsidRPr="00000000" w14:paraId="00000006">
      <w:pPr>
        <w:tabs>
          <w:tab w:val="left" w:pos="1762"/>
          <w:tab w:val="left" w:pos="5414"/>
          <w:tab w:val="left" w:pos="5697"/>
        </w:tabs>
        <w:ind w:right="-108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«Смене» проходит финал Всероссийской акции «Я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гражданин России». В нем принимают участие 100 ребят из 22 регионов страны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авторы лучших социальных проектов, прошедшие конкурсный отбор. </w:t>
      </w:r>
    </w:p>
    <w:p w:rsidR="00000000" w:rsidDel="00000000" w:rsidP="00000000" w:rsidRDefault="00000000" w:rsidRPr="00000000" w14:paraId="00000008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родных городах участники акции разработали и реализовали проекты, направленные на развитие добровольческих практик, формирование финансовой грамотности, сохранение и развитие культурно-исторического наследия России, развитие правовой грамотности. Во Всероссийском детском центре мальчишки и девчонки под руководством профессиональных педагогов отработают навыки проектной деятельности и найдут пути решения современных проблем социального развития. Ребята уже разделились на 10 команд и с нуля начали создавать проекты. </w:t>
      </w:r>
    </w:p>
    <w:p w:rsidR="00000000" w:rsidDel="00000000" w:rsidP="00000000" w:rsidRDefault="00000000" w:rsidRPr="00000000" w14:paraId="0000000A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«Вот уже седьмой год «Смена» встречает финалистов акции «Я – гражданин России». За это время программа объединила сотни неравнодушных детей нашей страны, которым не безразлична судьба родины. Благодаря идеям, разработанным сменовцами, рождаются проекты, направленные на развитие и повышение уровня жизни граждан. Желаю успехов участникам! Пусть финал поможет вам получить бесценный опыт проектной деятельности и реализовать все замыслы», – обратился к участникам программы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проходят в формате стратегических сессий, на которых ребята изучают тонкости создания проектов: целеполагание и планирование, роли и их полномочия, делегирование и постановку задач, управление рисками и проблемами, смету проекта и ее основные статьи. В этом им помогают эксперты: управляющий партнер PMLogix, ведущий эксперт по внедрению организационных изменений и ИТ-решений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Андрей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Малахов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ведущий консультант PMLogix, ведущий методолог Научно-образовательного центра проектного менеджмента РАНХиГС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Дарья Зайцева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кандидат экономических наук, ведущий консультант PMLogix, преподаватель курсов по управлению проектами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Ирина Воронцова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762"/>
          <w:tab w:val="left" w:pos="5414"/>
          <w:tab w:val="left" w:pos="5697"/>
        </w:tabs>
        <w:ind w:left="0" w:right="-108" w:firstLine="566.9291338582675"/>
        <w:jc w:val="both"/>
        <w:rPr>
          <w:rFonts w:ascii="Times New Roman" w:cs="Times New Roman" w:eastAsia="Times New Roman" w:hAnsi="Times New Roman"/>
          <w:color w:val="262626"/>
          <w:sz w:val="28"/>
          <w:szCs w:val="28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«Вместе с ребятами мы разработали проект «Дубовый Гай», главная цель которого – привлечение внимания общественности к проблеме сохранения животного мира нашего леса. Очень ценно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shd w:fill="fafafa" w:val="clear"/>
          <w:rtl w:val="0"/>
        </w:rPr>
        <w:t xml:space="preserve">донести до каждого человека важность сохранения растений и животных. Люди, не задумываясь, жгут костры, что приводит к лесным пожарам. Своей работой мы смогли привлечь внимание детей и взрослых к этой проблеме через серию социальных роликов и выиграли грант на реализацию проекта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 –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Виталия Абайдуллина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Самарской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762"/>
          <w:tab w:val="left" w:pos="5414"/>
          <w:tab w:val="left" w:pos="5697"/>
        </w:tabs>
        <w:ind w:left="0" w:right="-108" w:firstLine="0"/>
        <w:jc w:val="both"/>
        <w:rPr>
          <w:rFonts w:ascii="Times New Roman" w:cs="Times New Roman" w:eastAsia="Times New Roman" w:hAnsi="Times New Roman"/>
          <w:color w:val="262626"/>
          <w:sz w:val="26"/>
          <w:szCs w:val="26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созданию проектов в формате онлайн присоединились 10 участников из 6 регионов России: Ивановской области, Камчатского края, Краснодарского края, Пензенской области, города Санкт-Петербурга и республики Дагестан. </w:t>
      </w:r>
    </w:p>
    <w:p w:rsidR="00000000" w:rsidDel="00000000" w:rsidP="00000000" w:rsidRDefault="00000000" w:rsidRPr="00000000" w14:paraId="00000012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Завершится смена защитой коллективных проектов, где экспертное жюри определит победителей и призеров финала акции. В состав жюри войдут представители сферы образования и культуры, общественных организаций, органов государственного и муниципального управления. Все участники программы будут награждены свидетельствами о дополнительном образовании, дипломами и подарочными сертификатами. Смена продлится до 31 августа. </w:t>
        <w:br w:type="textWrapping"/>
      </w:r>
    </w:p>
    <w:p w:rsidR="00000000" w:rsidDel="00000000" w:rsidP="00000000" w:rsidRDefault="00000000" w:rsidRPr="00000000" w14:paraId="00000014">
      <w:pPr>
        <w:tabs>
          <w:tab w:val="left" w:pos="1762"/>
          <w:tab w:val="left" w:pos="5414"/>
          <w:tab w:val="left" w:pos="5697"/>
        </w:tabs>
        <w:ind w:right="-108" w:firstLine="567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Всероссийская акция «Я – гражданин России» проходит с 2000 года. Организатором выступает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Министерство просвещения Российской Федерации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 поддержке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Всероссийского центра развития художественного творчества и гуманитарных технологий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Подробности и вся актуальная информация на сайте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https://ya-grajdanin.ru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-grajdanin.ru" TargetMode="External"/><Relationship Id="rId10" Type="http://schemas.openxmlformats.org/officeDocument/2006/relationships/hyperlink" Target="http://vcht.center/" TargetMode="External"/><Relationship Id="rId12" Type="http://schemas.openxmlformats.org/officeDocument/2006/relationships/image" Target="media/image2.png"/><Relationship Id="rId9" Type="http://schemas.openxmlformats.org/officeDocument/2006/relationships/hyperlink" Target="https://edu.gov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rB27lw4x1ob4Fw8T9eWRt8QUsQ==">AMUW2mWekWhwK00uJQvDcB6A2akJxluwZeNxwkz9pv4EYvKjgCOq87uz7Z4a1uhsPhfe19dl9NHRQofqkEZlhidBcwE4Yzx4ScfQEHMtkBS2l+J9AjjROBj9LB8ZP0h1paw3Rhh1ZqTr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