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31.08.2022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2230" cy="68580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628" l="-625" r="-625" t="-2630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«Смене»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назвали победителей «Малых Олимпийских игр»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завершились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по плаванию в бассейне и на открытой воде.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первое место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боролись 48 школьников из шести регионов России. Победу одержала команда пловцов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Московской области.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при поддержке Всероссийской федерации плавания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образовательная программа «Олимпийская Академия». Участниками смены стали шесть региональных команд по плаванию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Воронежской области, Краснодарского края, Московской области, Приморского края, Республики Башкортостан и Самарской области.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они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победители муниципальных, региональных и федеральных соревнований. В составе каждой команды — 8 спортсменов в возрасте от 11 до 14 лет.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ребята повысили спортивное мастерство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руководством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известных спортсменов, познакомились с традициями Олимпийского и Паралимпийского движения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стали участниками соревнований по плаванию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«Малых Олимпийских игр»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Старты на открытой воде, а также в бассейне Центра проходили с 26 по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августа.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очень рады, что именно «Смену» выбрали в качестве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соревнований по плаванию среди школьников. Хорошей базой для подготовки спортсменов стали акватория Черного моря и современный 50-метровый плавательный бассейн олимпийского типа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который имеется в Центре.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эстафетах участники соревнований показали упорство, смелость и выдержку. Хочется пожелать им успехов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покорении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новых дистанций. Не бойтесь принимать вызов и с уверенностью плывите к своей мечте», — пожелал ребятам 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подведении итогов командного зачета жюри учитывали результаты всех участников команды по сумме трех дистанций и эстафеты 8х100 метров, которую ребята проплывали в ластах на открытой воде. Также участники продемонстрировали мастерство в дисциплине «комплексное плавание». Юные спортсмены проплыли отрезки дистанции в 200 м четырьмя разными стилями: на спине, брассом, баттерфляем и вольным стилем.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смешанной эстафете на открытой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 лучшие результаты показала команда из  Воронежской области. Второе место заняла команда из Московской области, а замкнула тройку лидеров команда из Республики Башкортостан. 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Победителем «Малых Олимпийских игр» стала команда из Московской области. Второе место у ребят из Республики Башкортостан. Призовое третье место заняла  команда из Самарской области.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«Наша команда добилась успеха благодаря ежедневному упорству и труду. В течение смены педагоги и вожатые Центра помогали нам готовиться к соревнованиям,  направляли к победе.  В «Смене» я обрела новых друзей. И самые заветные достижения нас ждут впереди. Хочу пожелать всем ребятам воплощения в жизнь поставленных целей. Верьте в себя!» — обратилась к участникам соревнований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Полина Почкаева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Московской области.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Участники, занявшие призовые первое, второе и третье места, награждены медалями, дипломами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памятными призами. </w:t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«Олимпийская академия» — авторская образовательная программа ВДЦ «Смена». Ее цель — актуализация ключевых компетенций обучающихся через развитие спортивных, творческих и интеллектуальных способностей.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 году программа впервые была реализована при поддержке Всероссийской Федерации плавания.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mlUOcconFCD6kVFLwEInyUMJA==">AMUW2mW8s8B0vVjUbjKytWScHNJfoXWfwUsZz0vUCs8FZq3ixB/Z0l0stGoCCrX3hRPHRLVQDuawVQfkgwpdpREcuHiT0GXvH2G6yaKLd8Prmkb8ZSxntcZabufIDz4dkZ9shXKqUazy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