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6373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.06.2022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  <w:t xml:space="preserve">с. Сукко,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Анапский р-н, Краснодарский край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0920" y="3779683"/>
                          <a:ext cx="1016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34925</wp:posOffset>
            </wp:positionH>
            <wp:positionV relativeFrom="paragraph">
              <wp:posOffset>635</wp:posOffset>
            </wp:positionV>
            <wp:extent cx="2613660" cy="697230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1576" l="-374" r="-374" t="-1576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697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Космическая профориентация: в «Смене»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стартовала программа «Ключ на старт! Космос для детей»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проходит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тематическая программа для ребят, увлеченных физикой и космонавтикой. Смена «Ключ на старт! Космос для детей» объединила 100 ребят из 30 регионов России. Они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накомятся с устройством космических аппаратов и готов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ятся 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соревнования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 проектированию спутников.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«Смену» приехали юны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инженер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возрасте от 11 до 17 лет. Ребята стали участниками тематической программы «Ключ на старт! Космос для детей», которая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проходит с 29 мая по 18 июня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поддержке Госкорпорации «Роскосмос».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«Мы очень рады, что образовательные программы в ракетно-космической сфере вошли в систему ранней профориентации подростков. Благодаря «Российской лунной программе», развитию частной космонавтики, растущему спросу на космический туризм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повышается интерес детей к профессиям космоса. На такие смены к нам приезжают мотивированные ребята, которые мечтают развить инженерные навыки, получить расширенные знания основ механики, выстроить профессиональные приоритеты. Уверен, что совместный образовательный проект с Госкорпорацией «Роскосмос» позволит вырастить поколение будущих звезд космонавтики», – считает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течение трех недель участники программы знакомятся с классификацией космических аппаратов, орбит и перелетов, изучают основы механики космического полета. Совершить успешную посадку на планете новых знаний ребятам помог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 эксперты ООО «Образование будущего». Наставники пров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 для них мастер-классы по 3D–моделированию и программированию спутников.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Каждый участник смены вовлечен в научно-исследовательскую миссию своей команды. Ребята проектируют модель космического аппарата на базе конструктора спутника IntroSat, описывают его функции и полезную нагрузку в космосе. В командах взаимодействуют конструкторы, отвечающие за чертежи, программисты, работающие с 3D-моделью спутника, и исследователи, которые формируют циклограмму эксперимента.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 нашей команде я — конструктор спутника. Ребята доверили мне эту роль, потому что у меня есть опыт в конкурсах по моделированию. Мне нравится процесс сборки моделей, процесс соединения деталей в формате 3D. Надеюсь, что мое увлечение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перерастает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будущую профессию, связанную с информационными технологиями, и «Смена» мне в этом поможет», — рассказала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Анна Гулякина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 Симферополя.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Каждая команда совмещает конструирование спутников с работой в лаборатории Skill City. В игровой форме дети знакомятся с профессиями космической отрасли: UX-дизайнер,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JAVA-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разработчик,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СЕО-оптимизатор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 космонавт, инженер-конструктор, digital-директор. Юные инженеры укрепляют навыки командной работы, развивают креативное мышление, осваивают тайм-менеджмент.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Гибкие навыки помогут участникам программы в финале смены презентовать свои проекты. Авторы лучших моделей станут обладателями призов от партнера смены — Госкорпорации «Роскосмос».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483" y="3770158"/>
                          <a:ext cx="6249035" cy="196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856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J+m7Urqc377vWK1uDJhsJNiRGA==">AMUW2mW3zoz/9NNFInKVZFG4pn8v0dFo7m+Pxev8X5Jljrt9DS/sbVg8Lb31erWW58kukY+QPIHMyY+PTz1D0dRzbN4I+jsXQa0WrjetfEnyG4YwVrVudNc=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2022-05-19T07:19:20Z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